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F6D69" w14:textId="77777777" w:rsidR="00D73BCE" w:rsidRPr="00DF2815" w:rsidRDefault="00D73BCE" w:rsidP="00D73BCE">
      <w:pPr>
        <w:autoSpaceDE w:val="0"/>
        <w:autoSpaceDN w:val="0"/>
        <w:adjustRightInd w:val="0"/>
        <w:spacing w:after="0" w:line="240" w:lineRule="auto"/>
        <w:jc w:val="center"/>
        <w:rPr>
          <w:rFonts w:ascii="Times New Roman" w:hAnsi="Times New Roman" w:cs="Times New Roman"/>
          <w:b/>
          <w:bCs/>
          <w:sz w:val="24"/>
          <w:szCs w:val="24"/>
          <w:u w:val="single"/>
        </w:rPr>
      </w:pPr>
      <w:r w:rsidRPr="00DF2815">
        <w:rPr>
          <w:rFonts w:ascii="Times New Roman" w:hAnsi="Times New Roman" w:cs="Times New Roman"/>
          <w:b/>
          <w:bCs/>
          <w:sz w:val="24"/>
          <w:szCs w:val="24"/>
          <w:u w:val="single"/>
        </w:rPr>
        <w:t>Terminology</w:t>
      </w:r>
    </w:p>
    <w:p w14:paraId="371532E1" w14:textId="77777777" w:rsidR="00D73BCE" w:rsidRPr="00BF040E" w:rsidRDefault="00D73BCE" w:rsidP="00D73BCE">
      <w:pPr>
        <w:autoSpaceDE w:val="0"/>
        <w:autoSpaceDN w:val="0"/>
        <w:adjustRightInd w:val="0"/>
        <w:spacing w:after="0" w:line="240" w:lineRule="auto"/>
        <w:rPr>
          <w:rFonts w:ascii="Times New Roman" w:hAnsi="Times New Roman" w:cs="Times New Roman"/>
          <w:b/>
          <w:bCs/>
          <w:sz w:val="24"/>
          <w:szCs w:val="24"/>
        </w:rPr>
      </w:pPr>
    </w:p>
    <w:tbl>
      <w:tblPr>
        <w:tblStyle w:val="TableGrid"/>
        <w:tblW w:w="10080" w:type="dxa"/>
        <w:tblInd w:w="-342" w:type="dxa"/>
        <w:tblLook w:val="04A0" w:firstRow="1" w:lastRow="0" w:firstColumn="1" w:lastColumn="0" w:noHBand="0" w:noVBand="1"/>
      </w:tblPr>
      <w:tblGrid>
        <w:gridCol w:w="1980"/>
        <w:gridCol w:w="8100"/>
      </w:tblGrid>
      <w:tr w:rsidR="00D73BCE" w14:paraId="2B805111" w14:textId="77777777" w:rsidTr="00D90FAB">
        <w:trPr>
          <w:trHeight w:val="332"/>
        </w:trPr>
        <w:tc>
          <w:tcPr>
            <w:tcW w:w="1980" w:type="dxa"/>
            <w:shd w:val="clear" w:color="auto" w:fill="4F81BD" w:themeFill="accent1"/>
            <w:vAlign w:val="center"/>
          </w:tcPr>
          <w:p w14:paraId="434DC47E" w14:textId="77777777" w:rsidR="00D73BCE" w:rsidRPr="002B2F1E" w:rsidRDefault="00D73BCE" w:rsidP="00D90FAB">
            <w:pPr>
              <w:autoSpaceDE w:val="0"/>
              <w:autoSpaceDN w:val="0"/>
              <w:adjustRightInd w:val="0"/>
              <w:jc w:val="center"/>
              <w:rPr>
                <w:rFonts w:ascii="Times New Roman" w:hAnsi="Times New Roman" w:cs="Times New Roman"/>
                <w:b/>
                <w:bCs/>
                <w:color w:val="FFFFFF" w:themeColor="background1"/>
                <w:u w:val="single"/>
              </w:rPr>
            </w:pPr>
            <w:r w:rsidRPr="002B2F1E">
              <w:rPr>
                <w:rFonts w:ascii="Times New Roman" w:hAnsi="Times New Roman" w:cs="Times New Roman"/>
                <w:b/>
                <w:bCs/>
                <w:color w:val="FFFFFF" w:themeColor="background1"/>
                <w:u w:val="single"/>
              </w:rPr>
              <w:t>Term</w:t>
            </w:r>
          </w:p>
        </w:tc>
        <w:tc>
          <w:tcPr>
            <w:tcW w:w="8100" w:type="dxa"/>
            <w:shd w:val="clear" w:color="auto" w:fill="4F81BD" w:themeFill="accent1"/>
            <w:vAlign w:val="center"/>
          </w:tcPr>
          <w:p w14:paraId="1977FF0D" w14:textId="77777777" w:rsidR="00D73BCE" w:rsidRPr="002B2F1E" w:rsidRDefault="00D73BCE" w:rsidP="00D90FAB">
            <w:pPr>
              <w:autoSpaceDE w:val="0"/>
              <w:autoSpaceDN w:val="0"/>
              <w:adjustRightInd w:val="0"/>
              <w:jc w:val="center"/>
              <w:rPr>
                <w:rFonts w:ascii="Times New Roman" w:hAnsi="Times New Roman" w:cs="Times New Roman"/>
                <w:b/>
                <w:bCs/>
                <w:color w:val="FFFFFF" w:themeColor="background1"/>
                <w:u w:val="single"/>
              </w:rPr>
            </w:pPr>
            <w:r w:rsidRPr="002B2F1E">
              <w:rPr>
                <w:rFonts w:ascii="Times New Roman" w:hAnsi="Times New Roman" w:cs="Times New Roman"/>
                <w:b/>
                <w:bCs/>
                <w:color w:val="FFFFFF" w:themeColor="background1"/>
                <w:u w:val="single"/>
              </w:rPr>
              <w:t>Definition</w:t>
            </w:r>
          </w:p>
        </w:tc>
      </w:tr>
      <w:tr w:rsidR="00D73BCE" w14:paraId="7C3466E2" w14:textId="77777777" w:rsidTr="00D90FAB">
        <w:trPr>
          <w:trHeight w:val="800"/>
        </w:trPr>
        <w:tc>
          <w:tcPr>
            <w:tcW w:w="1980" w:type="dxa"/>
            <w:shd w:val="clear" w:color="auto" w:fill="auto"/>
          </w:tcPr>
          <w:p w14:paraId="74B2CD9E" w14:textId="77777777" w:rsidR="00D73BCE" w:rsidRPr="00DF2815" w:rsidRDefault="00D73BCE" w:rsidP="00D90FAB">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Strategic Trade Controls (STC)</w:t>
            </w:r>
          </w:p>
        </w:tc>
        <w:tc>
          <w:tcPr>
            <w:tcW w:w="8100" w:type="dxa"/>
            <w:shd w:val="clear" w:color="auto" w:fill="auto"/>
          </w:tcPr>
          <w:p w14:paraId="0A871B71" w14:textId="77777777" w:rsidR="00D73BCE" w:rsidRPr="00373730" w:rsidRDefault="00D73BCE" w:rsidP="00D90FAB">
            <w:pPr>
              <w:pStyle w:val="Default"/>
              <w:jc w:val="both"/>
              <w:rPr>
                <w:rFonts w:ascii="Times New Roman" w:hAnsi="Times New Roman" w:cs="Times New Roman"/>
                <w:sz w:val="20"/>
                <w:szCs w:val="20"/>
              </w:rPr>
            </w:pPr>
            <w:r w:rsidRPr="00373730">
              <w:rPr>
                <w:rFonts w:ascii="Times New Roman" w:hAnsi="Times New Roman" w:cs="Times New Roman"/>
                <w:sz w:val="20"/>
                <w:szCs w:val="20"/>
              </w:rPr>
              <w:t>The laws, regulations, special rules, restrictions, and administrative procedures, that govern trade and transactions involving items, businesses/entities//individuals, and countries for which there is the possibility the items involved will be used for WMD or</w:t>
            </w:r>
            <w:r>
              <w:rPr>
                <w:rFonts w:ascii="Times New Roman" w:hAnsi="Times New Roman" w:cs="Times New Roman"/>
                <w:sz w:val="20"/>
                <w:szCs w:val="20"/>
              </w:rPr>
              <w:t xml:space="preserve"> conventional weapons</w:t>
            </w:r>
            <w:r w:rsidRPr="00373730">
              <w:rPr>
                <w:rFonts w:ascii="Times New Roman" w:hAnsi="Times New Roman" w:cs="Times New Roman"/>
                <w:sz w:val="20"/>
                <w:szCs w:val="20"/>
              </w:rPr>
              <w:t xml:space="preserve"> purposes.</w:t>
            </w:r>
          </w:p>
        </w:tc>
      </w:tr>
      <w:tr w:rsidR="00D73BCE" w14:paraId="4DD56E72" w14:textId="77777777" w:rsidTr="00D90FAB">
        <w:tc>
          <w:tcPr>
            <w:tcW w:w="1980" w:type="dxa"/>
          </w:tcPr>
          <w:p w14:paraId="015BEC15" w14:textId="77777777" w:rsidR="00D73BCE" w:rsidRPr="00DF2815" w:rsidRDefault="00D73BCE" w:rsidP="00D90FAB">
            <w:pPr>
              <w:autoSpaceDE w:val="0"/>
              <w:autoSpaceDN w:val="0"/>
              <w:adjustRightInd w:val="0"/>
              <w:rPr>
                <w:rFonts w:ascii="Times New Roman" w:hAnsi="Times New Roman" w:cs="Times New Roman"/>
                <w:b/>
                <w:sz w:val="20"/>
                <w:szCs w:val="20"/>
              </w:rPr>
            </w:pPr>
            <w:r w:rsidRPr="00DF2815">
              <w:rPr>
                <w:rFonts w:ascii="Times New Roman" w:hAnsi="Times New Roman" w:cs="Times New Roman"/>
                <w:b/>
                <w:sz w:val="20"/>
                <w:szCs w:val="20"/>
              </w:rPr>
              <w:t>Technology</w:t>
            </w:r>
          </w:p>
        </w:tc>
        <w:tc>
          <w:tcPr>
            <w:tcW w:w="8100" w:type="dxa"/>
          </w:tcPr>
          <w:p w14:paraId="3E7C9E65" w14:textId="77777777" w:rsidR="00D73BCE" w:rsidRPr="00DF2815" w:rsidRDefault="00D73BCE" w:rsidP="00D90FAB">
            <w:pPr>
              <w:pStyle w:val="Default"/>
              <w:jc w:val="both"/>
              <w:rPr>
                <w:rFonts w:ascii="Times New Roman" w:hAnsi="Times New Roman" w:cs="Times New Roman"/>
                <w:sz w:val="20"/>
                <w:szCs w:val="20"/>
              </w:rPr>
            </w:pPr>
            <w:r>
              <w:rPr>
                <w:rFonts w:ascii="Times New Roman" w:hAnsi="Times New Roman" w:cs="Times New Roman"/>
                <w:sz w:val="20"/>
                <w:szCs w:val="20"/>
              </w:rPr>
              <w:t>Any s</w:t>
            </w:r>
            <w:r w:rsidRPr="00DF2815">
              <w:rPr>
                <w:rFonts w:ascii="Times New Roman" w:hAnsi="Times New Roman" w:cs="Times New Roman"/>
                <w:sz w:val="20"/>
                <w:szCs w:val="20"/>
              </w:rPr>
              <w:t>pecific information or know-how (in tangible form, such as models, prototypes, drawings, sketches, diagrams, blueprints, manuals, software, or in intangible form, such as training or technical services) that is required for the development, production, or use of a good, but not the good itself.</w:t>
            </w:r>
            <w:r w:rsidRPr="00DF2815">
              <w:rPr>
                <w:rFonts w:ascii="Times New Roman" w:hAnsi="Times New Roman" w:cs="Times New Roman"/>
                <w:b/>
                <w:sz w:val="20"/>
                <w:szCs w:val="20"/>
              </w:rPr>
              <w:t xml:space="preserve"> </w:t>
            </w:r>
            <w:r>
              <w:rPr>
                <w:rFonts w:ascii="Times New Roman" w:hAnsi="Times New Roman" w:cs="Times New Roman"/>
                <w:sz w:val="20"/>
                <w:szCs w:val="20"/>
              </w:rPr>
              <w:t>I</w:t>
            </w:r>
            <w:r w:rsidRPr="00DF2815">
              <w:rPr>
                <w:rFonts w:ascii="Times New Roman" w:hAnsi="Times New Roman" w:cs="Times New Roman"/>
                <w:sz w:val="20"/>
                <w:szCs w:val="20"/>
              </w:rPr>
              <w:t>nformation takes the form of “technical data” or “technical assistance.”</w:t>
            </w:r>
          </w:p>
        </w:tc>
      </w:tr>
      <w:tr w:rsidR="00D73BCE" w14:paraId="20B187BE" w14:textId="77777777" w:rsidTr="00D90FAB">
        <w:tc>
          <w:tcPr>
            <w:tcW w:w="1980" w:type="dxa"/>
          </w:tcPr>
          <w:p w14:paraId="0FFAE3FC" w14:textId="77777777" w:rsidR="00D73BCE" w:rsidRPr="00DF2815" w:rsidRDefault="00D73BCE" w:rsidP="00D90FAB">
            <w:pPr>
              <w:autoSpaceDE w:val="0"/>
              <w:autoSpaceDN w:val="0"/>
              <w:adjustRightInd w:val="0"/>
              <w:rPr>
                <w:rFonts w:ascii="Times New Roman" w:hAnsi="Times New Roman" w:cs="Times New Roman"/>
                <w:b/>
                <w:bCs/>
                <w:color w:val="C00000"/>
                <w:sz w:val="20"/>
                <w:szCs w:val="20"/>
              </w:rPr>
            </w:pPr>
            <w:r w:rsidRPr="00DF2815">
              <w:rPr>
                <w:rFonts w:ascii="Times New Roman" w:hAnsi="Times New Roman" w:cs="Times New Roman"/>
                <w:b/>
                <w:sz w:val="20"/>
                <w:szCs w:val="20"/>
              </w:rPr>
              <w:t>Technical data</w:t>
            </w:r>
          </w:p>
        </w:tc>
        <w:tc>
          <w:tcPr>
            <w:tcW w:w="8100" w:type="dxa"/>
          </w:tcPr>
          <w:p w14:paraId="2708E27C" w14:textId="77777777" w:rsidR="00D73BCE" w:rsidRPr="00A22350" w:rsidRDefault="00D73BCE" w:rsidP="00D90FAB">
            <w:pPr>
              <w:pStyle w:val="Default"/>
              <w:jc w:val="both"/>
              <w:rPr>
                <w:rFonts w:ascii="Times New Roman" w:hAnsi="Times New Roman" w:cs="Times New Roman"/>
                <w:i/>
                <w:sz w:val="20"/>
                <w:szCs w:val="20"/>
              </w:rPr>
            </w:pPr>
            <w:r w:rsidRPr="00DF2815">
              <w:rPr>
                <w:rFonts w:ascii="Times New Roman" w:hAnsi="Times New Roman" w:cs="Times New Roman"/>
                <w:sz w:val="20"/>
                <w:szCs w:val="20"/>
              </w:rPr>
              <w:t xml:space="preserve">Information required for the design, development, production, manufacture, assembly, operation, repair, testing, maintenance, or modification of controlled products. This includes information in the form of blueprints, plans, diagrams, models, mathematical formulae, tables, engineering designs and specifications, manuals and instructions written or recorded on other media or devices such as disk, tape, or read-only memories (ROM). Technical data can be transferred via tangible or intangible means. </w:t>
            </w:r>
            <w:r>
              <w:rPr>
                <w:rFonts w:ascii="Times New Roman" w:hAnsi="Times New Roman" w:cs="Times New Roman"/>
                <w:b/>
                <w:sz w:val="20"/>
                <w:szCs w:val="20"/>
                <w:u w:val="single"/>
              </w:rPr>
              <w:t>Note</w:t>
            </w:r>
            <w:r w:rsidRPr="00DF2815">
              <w:rPr>
                <w:rFonts w:ascii="Times New Roman" w:hAnsi="Times New Roman" w:cs="Times New Roman"/>
                <w:sz w:val="20"/>
                <w:szCs w:val="20"/>
              </w:rPr>
              <w:t xml:space="preserve">: </w:t>
            </w:r>
            <w:r w:rsidRPr="00A22350">
              <w:rPr>
                <w:rFonts w:ascii="Times New Roman" w:hAnsi="Times New Roman" w:cs="Times New Roman"/>
                <w:i/>
                <w:sz w:val="20"/>
                <w:szCs w:val="20"/>
              </w:rPr>
              <w:t>Intangible transfers of technology (ITT) may occur by visual, oral, or electronic transmission.</w:t>
            </w:r>
          </w:p>
          <w:p w14:paraId="1AE581C5" w14:textId="77777777" w:rsidR="00D73BCE" w:rsidRPr="00DF2815" w:rsidRDefault="00D73BCE" w:rsidP="00D90FAB">
            <w:pPr>
              <w:pStyle w:val="Default"/>
              <w:jc w:val="both"/>
              <w:rPr>
                <w:rFonts w:ascii="Times New Roman" w:hAnsi="Times New Roman" w:cs="Times New Roman"/>
                <w:b/>
                <w:sz w:val="20"/>
                <w:szCs w:val="20"/>
              </w:rPr>
            </w:pPr>
            <w:r w:rsidRPr="00DF2815">
              <w:rPr>
                <w:rFonts w:ascii="Times New Roman" w:hAnsi="Times New Roman" w:cs="Times New Roman"/>
                <w:b/>
                <w:sz w:val="20"/>
                <w:szCs w:val="20"/>
              </w:rPr>
              <w:t>Examples of technical data common to universities</w:t>
            </w:r>
            <w:r>
              <w:rPr>
                <w:rFonts w:ascii="Times New Roman" w:hAnsi="Times New Roman" w:cs="Times New Roman"/>
                <w:b/>
                <w:sz w:val="20"/>
                <w:szCs w:val="20"/>
              </w:rPr>
              <w:t>/</w:t>
            </w:r>
            <w:r w:rsidRPr="00DF2815">
              <w:rPr>
                <w:rFonts w:ascii="Times New Roman" w:hAnsi="Times New Roman" w:cs="Times New Roman"/>
                <w:b/>
                <w:sz w:val="20"/>
                <w:szCs w:val="20"/>
              </w:rPr>
              <w:t>research organizations would include:</w:t>
            </w:r>
          </w:p>
          <w:p w14:paraId="71B02A6C" w14:textId="77777777" w:rsidR="00D73BCE" w:rsidRPr="00DF2815" w:rsidRDefault="00D73BCE" w:rsidP="00D90FAB">
            <w:pPr>
              <w:pStyle w:val="Default"/>
              <w:numPr>
                <w:ilvl w:val="0"/>
                <w:numId w:val="1"/>
              </w:numPr>
              <w:ind w:left="518"/>
              <w:jc w:val="both"/>
              <w:rPr>
                <w:rFonts w:ascii="Times New Roman" w:hAnsi="Times New Roman" w:cs="Times New Roman"/>
                <w:sz w:val="20"/>
                <w:szCs w:val="20"/>
              </w:rPr>
            </w:pPr>
            <w:r w:rsidRPr="00DF2815">
              <w:rPr>
                <w:rFonts w:ascii="Times New Roman" w:hAnsi="Times New Roman" w:cs="Times New Roman"/>
                <w:sz w:val="20"/>
                <w:szCs w:val="20"/>
              </w:rPr>
              <w:t xml:space="preserve">Technical reports, presentation/pre-publication manuscripts, and research records </w:t>
            </w:r>
          </w:p>
          <w:p w14:paraId="0E58527F" w14:textId="77777777" w:rsidR="00D73BCE" w:rsidRPr="00DF2815" w:rsidRDefault="00D73BCE" w:rsidP="00D90FAB">
            <w:pPr>
              <w:pStyle w:val="Default"/>
              <w:numPr>
                <w:ilvl w:val="0"/>
                <w:numId w:val="1"/>
              </w:numPr>
              <w:ind w:left="522"/>
              <w:jc w:val="both"/>
              <w:rPr>
                <w:rFonts w:ascii="Times New Roman" w:hAnsi="Times New Roman" w:cs="Times New Roman"/>
                <w:sz w:val="20"/>
                <w:szCs w:val="20"/>
              </w:rPr>
            </w:pPr>
            <w:r w:rsidRPr="00DF2815">
              <w:rPr>
                <w:rFonts w:ascii="Times New Roman" w:hAnsi="Times New Roman" w:cs="Times New Roman"/>
                <w:sz w:val="20"/>
                <w:szCs w:val="20"/>
              </w:rPr>
              <w:t xml:space="preserve">Design drawings, circuit diagrams, manufacturing method documents, test method documents, and evaluation method documents </w:t>
            </w:r>
          </w:p>
          <w:p w14:paraId="6D617CC5" w14:textId="77777777" w:rsidR="00D73BCE" w:rsidRPr="00DF2815" w:rsidRDefault="00D73BCE" w:rsidP="00D90FAB">
            <w:pPr>
              <w:pStyle w:val="Default"/>
              <w:numPr>
                <w:ilvl w:val="0"/>
                <w:numId w:val="1"/>
              </w:numPr>
              <w:ind w:left="522"/>
              <w:jc w:val="both"/>
              <w:rPr>
                <w:rFonts w:ascii="Times New Roman" w:hAnsi="Times New Roman" w:cs="Times New Roman"/>
                <w:sz w:val="20"/>
                <w:szCs w:val="20"/>
              </w:rPr>
            </w:pPr>
            <w:r w:rsidRPr="00DF2815">
              <w:rPr>
                <w:rFonts w:ascii="Times New Roman" w:hAnsi="Times New Roman" w:cs="Times New Roman"/>
                <w:sz w:val="20"/>
                <w:szCs w:val="20"/>
              </w:rPr>
              <w:t xml:space="preserve">Technical specifications on experimental equipment </w:t>
            </w:r>
          </w:p>
          <w:p w14:paraId="4FFC78F8" w14:textId="77777777" w:rsidR="00D73BCE" w:rsidRPr="00DF2815" w:rsidRDefault="00D73BCE" w:rsidP="00D90FAB">
            <w:pPr>
              <w:pStyle w:val="Default"/>
              <w:numPr>
                <w:ilvl w:val="0"/>
                <w:numId w:val="1"/>
              </w:numPr>
              <w:ind w:left="522"/>
              <w:jc w:val="both"/>
              <w:rPr>
                <w:rFonts w:ascii="Times New Roman" w:hAnsi="Times New Roman" w:cs="Times New Roman"/>
                <w:sz w:val="20"/>
                <w:szCs w:val="20"/>
              </w:rPr>
            </w:pPr>
            <w:r w:rsidRPr="00DF2815">
              <w:rPr>
                <w:rFonts w:ascii="Times New Roman" w:hAnsi="Times New Roman" w:cs="Times New Roman"/>
                <w:sz w:val="20"/>
                <w:szCs w:val="20"/>
              </w:rPr>
              <w:t xml:space="preserve">Experimental data </w:t>
            </w:r>
          </w:p>
          <w:p w14:paraId="23B98F0C" w14:textId="77777777" w:rsidR="00D73BCE" w:rsidRPr="00DF2815" w:rsidRDefault="00D73BCE" w:rsidP="00D90FAB">
            <w:pPr>
              <w:pStyle w:val="Default"/>
              <w:numPr>
                <w:ilvl w:val="0"/>
                <w:numId w:val="1"/>
              </w:numPr>
              <w:ind w:left="522"/>
              <w:jc w:val="both"/>
              <w:rPr>
                <w:rFonts w:ascii="Times New Roman" w:hAnsi="Times New Roman" w:cs="Times New Roman"/>
                <w:sz w:val="20"/>
                <w:szCs w:val="20"/>
              </w:rPr>
            </w:pPr>
            <w:r w:rsidRPr="00DF2815">
              <w:rPr>
                <w:rFonts w:ascii="Times New Roman" w:hAnsi="Times New Roman" w:cs="Times New Roman"/>
                <w:sz w:val="20"/>
                <w:szCs w:val="20"/>
              </w:rPr>
              <w:t xml:space="preserve">Computer and software programs, etc. </w:t>
            </w:r>
          </w:p>
        </w:tc>
      </w:tr>
      <w:tr w:rsidR="00D73BCE" w14:paraId="5F408A3C" w14:textId="77777777" w:rsidTr="00D90FAB">
        <w:tc>
          <w:tcPr>
            <w:tcW w:w="1980" w:type="dxa"/>
          </w:tcPr>
          <w:p w14:paraId="55B14955" w14:textId="77777777" w:rsidR="00D73BCE" w:rsidRPr="00DF2815" w:rsidRDefault="00D73BCE" w:rsidP="00D90FAB">
            <w:pPr>
              <w:autoSpaceDE w:val="0"/>
              <w:autoSpaceDN w:val="0"/>
              <w:adjustRightInd w:val="0"/>
              <w:rPr>
                <w:rFonts w:ascii="Times New Roman" w:hAnsi="Times New Roman" w:cs="Times New Roman"/>
                <w:b/>
                <w:bCs/>
                <w:color w:val="C00000"/>
                <w:sz w:val="20"/>
                <w:szCs w:val="20"/>
              </w:rPr>
            </w:pPr>
            <w:r w:rsidRPr="00DF2815">
              <w:rPr>
                <w:rFonts w:ascii="Times New Roman" w:hAnsi="Times New Roman" w:cs="Times New Roman"/>
                <w:b/>
                <w:sz w:val="20"/>
                <w:szCs w:val="20"/>
              </w:rPr>
              <w:t>Technical assistance</w:t>
            </w:r>
          </w:p>
        </w:tc>
        <w:tc>
          <w:tcPr>
            <w:tcW w:w="8100" w:type="dxa"/>
          </w:tcPr>
          <w:p w14:paraId="0D571C65" w14:textId="77777777" w:rsidR="00D73BCE" w:rsidRDefault="00D73BCE" w:rsidP="00D90FAB">
            <w:pPr>
              <w:pStyle w:val="Default"/>
              <w:jc w:val="both"/>
              <w:rPr>
                <w:rFonts w:ascii="Times New Roman" w:hAnsi="Times New Roman" w:cs="Times New Roman"/>
                <w:sz w:val="20"/>
                <w:szCs w:val="20"/>
              </w:rPr>
            </w:pPr>
            <w:r w:rsidRPr="00DF2815">
              <w:rPr>
                <w:rFonts w:ascii="Times New Roman" w:hAnsi="Times New Roman" w:cs="Times New Roman"/>
                <w:sz w:val="20"/>
                <w:szCs w:val="20"/>
              </w:rPr>
              <w:t>Technical assistance may take forms such as instruction, skills training, working knowledge, consulting services, and may involve the transfer of technical data.</w:t>
            </w:r>
          </w:p>
          <w:p w14:paraId="61E9125A" w14:textId="77777777" w:rsidR="00D73BCE" w:rsidRPr="00DF2815" w:rsidRDefault="00D73BCE" w:rsidP="00D90FAB">
            <w:pPr>
              <w:pStyle w:val="Default"/>
              <w:jc w:val="both"/>
              <w:rPr>
                <w:rFonts w:ascii="Times New Roman" w:hAnsi="Times New Roman" w:cs="Times New Roman"/>
                <w:b/>
                <w:sz w:val="20"/>
                <w:szCs w:val="20"/>
              </w:rPr>
            </w:pPr>
            <w:r w:rsidRPr="00DF2815">
              <w:rPr>
                <w:rFonts w:ascii="Times New Roman" w:hAnsi="Times New Roman" w:cs="Times New Roman"/>
                <w:b/>
                <w:sz w:val="20"/>
                <w:szCs w:val="20"/>
              </w:rPr>
              <w:t>Examples of technical assistance common to universities</w:t>
            </w:r>
            <w:r>
              <w:rPr>
                <w:rFonts w:ascii="Times New Roman" w:hAnsi="Times New Roman" w:cs="Times New Roman"/>
                <w:b/>
                <w:sz w:val="20"/>
                <w:szCs w:val="20"/>
              </w:rPr>
              <w:t>/research organizations</w:t>
            </w:r>
            <w:r w:rsidRPr="00DF2815">
              <w:rPr>
                <w:rFonts w:ascii="Times New Roman" w:hAnsi="Times New Roman" w:cs="Times New Roman"/>
                <w:b/>
                <w:sz w:val="20"/>
                <w:szCs w:val="20"/>
              </w:rPr>
              <w:t xml:space="preserve"> include:</w:t>
            </w:r>
          </w:p>
          <w:p w14:paraId="4571E15C" w14:textId="77777777" w:rsidR="00D73BCE" w:rsidRPr="00DF2815" w:rsidRDefault="00D73BCE" w:rsidP="00D90FAB">
            <w:pPr>
              <w:pStyle w:val="Default"/>
              <w:numPr>
                <w:ilvl w:val="0"/>
                <w:numId w:val="2"/>
              </w:numPr>
              <w:ind w:left="518"/>
              <w:jc w:val="both"/>
              <w:rPr>
                <w:rFonts w:ascii="Times New Roman" w:hAnsi="Times New Roman" w:cs="Times New Roman"/>
                <w:sz w:val="20"/>
                <w:szCs w:val="20"/>
              </w:rPr>
            </w:pPr>
            <w:r w:rsidRPr="00DF2815">
              <w:rPr>
                <w:rFonts w:ascii="Times New Roman" w:hAnsi="Times New Roman" w:cs="Times New Roman"/>
                <w:sz w:val="20"/>
                <w:szCs w:val="20"/>
              </w:rPr>
              <w:t xml:space="preserve">Presentation or explanations with presentation software </w:t>
            </w:r>
          </w:p>
          <w:p w14:paraId="3CDF5805" w14:textId="77777777" w:rsidR="00D73BCE" w:rsidRPr="00DF2815" w:rsidRDefault="00D73BCE" w:rsidP="00D90FAB">
            <w:pPr>
              <w:pStyle w:val="Default"/>
              <w:numPr>
                <w:ilvl w:val="0"/>
                <w:numId w:val="2"/>
              </w:numPr>
              <w:ind w:left="522"/>
              <w:jc w:val="both"/>
              <w:rPr>
                <w:rFonts w:ascii="Times New Roman" w:hAnsi="Times New Roman" w:cs="Times New Roman"/>
                <w:sz w:val="20"/>
                <w:szCs w:val="20"/>
              </w:rPr>
            </w:pPr>
            <w:r w:rsidRPr="00DF2815">
              <w:rPr>
                <w:rFonts w:ascii="Times New Roman" w:hAnsi="Times New Roman" w:cs="Times New Roman"/>
                <w:sz w:val="20"/>
                <w:szCs w:val="20"/>
              </w:rPr>
              <w:t>Oral research presentations, skill instructions, etc.</w:t>
            </w:r>
          </w:p>
        </w:tc>
      </w:tr>
      <w:tr w:rsidR="00D73BCE" w14:paraId="4B304FCF" w14:textId="77777777" w:rsidTr="00D90FAB">
        <w:trPr>
          <w:trHeight w:val="980"/>
        </w:trPr>
        <w:tc>
          <w:tcPr>
            <w:tcW w:w="1980" w:type="dxa"/>
          </w:tcPr>
          <w:p w14:paraId="4A041882" w14:textId="77777777" w:rsidR="00D73BCE" w:rsidRPr="00DF2815" w:rsidRDefault="00D73BCE" w:rsidP="00D90FAB">
            <w:pPr>
              <w:autoSpaceDE w:val="0"/>
              <w:autoSpaceDN w:val="0"/>
              <w:adjustRightInd w:val="0"/>
              <w:rPr>
                <w:rFonts w:ascii="Times New Roman" w:hAnsi="Times New Roman" w:cs="Times New Roman"/>
                <w:b/>
                <w:sz w:val="20"/>
                <w:szCs w:val="20"/>
                <w:highlight w:val="yellow"/>
              </w:rPr>
            </w:pPr>
            <w:r w:rsidRPr="00DF2815">
              <w:rPr>
                <w:rFonts w:ascii="Times New Roman" w:hAnsi="Times New Roman" w:cs="Times New Roman"/>
                <w:b/>
                <w:sz w:val="20"/>
                <w:szCs w:val="20"/>
              </w:rPr>
              <w:t>Intangible Transfer of Technology (ITT)</w:t>
            </w:r>
          </w:p>
        </w:tc>
        <w:tc>
          <w:tcPr>
            <w:tcW w:w="8100" w:type="dxa"/>
          </w:tcPr>
          <w:p w14:paraId="1A2CFE9B" w14:textId="77777777" w:rsidR="00D73BCE" w:rsidRPr="00DF2815" w:rsidRDefault="00D73BCE" w:rsidP="00D90FAB">
            <w:pPr>
              <w:pStyle w:val="Default"/>
              <w:jc w:val="both"/>
              <w:rPr>
                <w:rFonts w:ascii="Times New Roman" w:hAnsi="Times New Roman" w:cs="Times New Roman"/>
                <w:sz w:val="20"/>
                <w:szCs w:val="20"/>
              </w:rPr>
            </w:pPr>
            <w:r w:rsidRPr="00DF2815">
              <w:rPr>
                <w:rFonts w:ascii="Times New Roman" w:hAnsi="Times New Roman" w:cs="Times New Roman"/>
                <w:sz w:val="20"/>
                <w:szCs w:val="20"/>
              </w:rPr>
              <w:t>The transfer of controlled technology, information, or know-how through non-physical means (electronic, visual, or oral) this includes supplying technical details and schematics, designs, lessons and similar know-how (technical data) through education, training, or instruction (technical assistance).</w:t>
            </w:r>
          </w:p>
        </w:tc>
      </w:tr>
      <w:tr w:rsidR="00D73BCE" w14:paraId="62BB725C" w14:textId="77777777" w:rsidTr="00D90FAB">
        <w:trPr>
          <w:trHeight w:val="980"/>
        </w:trPr>
        <w:tc>
          <w:tcPr>
            <w:tcW w:w="1980" w:type="dxa"/>
          </w:tcPr>
          <w:p w14:paraId="17728754" w14:textId="77777777" w:rsidR="00D73BCE" w:rsidRPr="00DF2815" w:rsidRDefault="00D73BCE" w:rsidP="00D90FAB">
            <w:pPr>
              <w:autoSpaceDE w:val="0"/>
              <w:autoSpaceDN w:val="0"/>
              <w:adjustRightInd w:val="0"/>
              <w:rPr>
                <w:rFonts w:ascii="Times New Roman" w:hAnsi="Times New Roman" w:cs="Times New Roman"/>
                <w:b/>
                <w:sz w:val="20"/>
                <w:szCs w:val="20"/>
              </w:rPr>
            </w:pPr>
            <w:r w:rsidRPr="00DF2815">
              <w:rPr>
                <w:rFonts w:ascii="Times New Roman" w:hAnsi="Times New Roman" w:cs="Times New Roman"/>
                <w:b/>
                <w:sz w:val="20"/>
                <w:szCs w:val="20"/>
              </w:rPr>
              <w:t xml:space="preserve">Deemed export </w:t>
            </w:r>
          </w:p>
        </w:tc>
        <w:tc>
          <w:tcPr>
            <w:tcW w:w="8100" w:type="dxa"/>
          </w:tcPr>
          <w:p w14:paraId="1FBE4DCD" w14:textId="77777777" w:rsidR="00D73BCE" w:rsidRPr="00DF2815" w:rsidRDefault="00D73BCE" w:rsidP="00D90FAB">
            <w:pPr>
              <w:pStyle w:val="Default"/>
              <w:jc w:val="both"/>
              <w:rPr>
                <w:rFonts w:ascii="Times New Roman" w:hAnsi="Times New Roman" w:cs="Times New Roman"/>
                <w:sz w:val="20"/>
                <w:szCs w:val="20"/>
              </w:rPr>
            </w:pPr>
            <w:r w:rsidRPr="00DF2815">
              <w:rPr>
                <w:rFonts w:ascii="Times New Roman" w:hAnsi="Times New Roman" w:cs="Times New Roman"/>
                <w:sz w:val="20"/>
                <w:szCs w:val="20"/>
              </w:rPr>
              <w:t>A deemed export is the release of technology or information to a foreign national</w:t>
            </w:r>
            <w:r>
              <w:rPr>
                <w:rFonts w:ascii="Times New Roman" w:hAnsi="Times New Roman" w:cs="Times New Roman"/>
                <w:sz w:val="20"/>
                <w:szCs w:val="20"/>
              </w:rPr>
              <w:t xml:space="preserve"> within the exporting country. </w:t>
            </w:r>
            <w:r w:rsidRPr="00DF2815">
              <w:rPr>
                <w:rFonts w:ascii="Times New Roman" w:hAnsi="Times New Roman" w:cs="Times New Roman"/>
                <w:sz w:val="20"/>
                <w:szCs w:val="20"/>
              </w:rPr>
              <w:t>Many national governments, such as the US, require enterprises to acquire specific licenses before foreign nationals are allowed to access controlled technologies or information, even if they reside in said country and work for the enterprise.</w:t>
            </w:r>
          </w:p>
        </w:tc>
      </w:tr>
      <w:tr w:rsidR="00D73BCE" w14:paraId="115920A5" w14:textId="77777777" w:rsidTr="00D90FAB">
        <w:trPr>
          <w:trHeight w:val="980"/>
        </w:trPr>
        <w:tc>
          <w:tcPr>
            <w:tcW w:w="1980" w:type="dxa"/>
          </w:tcPr>
          <w:p w14:paraId="4C1F18CD" w14:textId="77777777" w:rsidR="00D73BCE" w:rsidRPr="00DF2815" w:rsidRDefault="00D73BCE" w:rsidP="00D90FAB">
            <w:pPr>
              <w:autoSpaceDE w:val="0"/>
              <w:autoSpaceDN w:val="0"/>
              <w:adjustRightInd w:val="0"/>
              <w:rPr>
                <w:rFonts w:ascii="Times New Roman" w:hAnsi="Times New Roman" w:cs="Times New Roman"/>
                <w:b/>
                <w:sz w:val="20"/>
                <w:szCs w:val="20"/>
              </w:rPr>
            </w:pPr>
            <w:r w:rsidRPr="00DF2815">
              <w:rPr>
                <w:rFonts w:ascii="Times New Roman" w:hAnsi="Times New Roman" w:cs="Times New Roman"/>
                <w:b/>
                <w:sz w:val="20"/>
                <w:szCs w:val="20"/>
              </w:rPr>
              <w:t>Foreign national</w:t>
            </w:r>
          </w:p>
        </w:tc>
        <w:tc>
          <w:tcPr>
            <w:tcW w:w="8100" w:type="dxa"/>
          </w:tcPr>
          <w:p w14:paraId="60074118" w14:textId="77777777" w:rsidR="00D73BCE" w:rsidRPr="00DF2815" w:rsidRDefault="00D73BCE" w:rsidP="00D90FAB">
            <w:pPr>
              <w:pStyle w:val="Default"/>
              <w:jc w:val="both"/>
              <w:rPr>
                <w:rFonts w:ascii="Times New Roman" w:hAnsi="Times New Roman" w:cs="Times New Roman"/>
                <w:sz w:val="20"/>
                <w:szCs w:val="20"/>
              </w:rPr>
            </w:pPr>
            <w:r w:rsidRPr="00DF2815">
              <w:rPr>
                <w:rFonts w:ascii="Times New Roman" w:hAnsi="Times New Roman" w:cs="Times New Roman"/>
                <w:color w:val="auto"/>
                <w:sz w:val="20"/>
                <w:szCs w:val="20"/>
              </w:rPr>
              <w:t>1)</w:t>
            </w:r>
            <w:r w:rsidRPr="00DF2815">
              <w:rPr>
                <w:rFonts w:ascii="Times New Roman" w:hAnsi="Times New Roman" w:cs="Times New Roman"/>
                <w:b/>
                <w:color w:val="auto"/>
                <w:sz w:val="20"/>
                <w:szCs w:val="20"/>
              </w:rPr>
              <w:t xml:space="preserve"> </w:t>
            </w:r>
            <w:r w:rsidRPr="00DF2815">
              <w:rPr>
                <w:rFonts w:ascii="Times New Roman" w:hAnsi="Times New Roman" w:cs="Times New Roman"/>
                <w:color w:val="auto"/>
                <w:sz w:val="20"/>
                <w:szCs w:val="20"/>
              </w:rPr>
              <w:t>A</w:t>
            </w:r>
            <w:r w:rsidRPr="00DF2815">
              <w:rPr>
                <w:rFonts w:ascii="Times New Roman" w:hAnsi="Times New Roman" w:cs="Times New Roman"/>
                <w:b/>
                <w:color w:val="auto"/>
                <w:sz w:val="20"/>
                <w:szCs w:val="20"/>
              </w:rPr>
              <w:t xml:space="preserve"> </w:t>
            </w:r>
            <w:r w:rsidRPr="00DF2815">
              <w:rPr>
                <w:rFonts w:ascii="Times New Roman" w:hAnsi="Times New Roman" w:cs="Times New Roman"/>
                <w:color w:val="auto"/>
                <w:sz w:val="20"/>
                <w:szCs w:val="20"/>
                <w:shd w:val="clear" w:color="auto" w:fill="FFFFFF"/>
              </w:rPr>
              <w:t>person who is neither a lawful permanent resident nor a citizen or national, 2) a foreign entity (corporation, business association, partnership, etc.) not incorporated or organized to do business in your country, or 3) an international organization, a foreign government or an agency or subdivision of a foreign government.</w:t>
            </w:r>
          </w:p>
        </w:tc>
      </w:tr>
      <w:tr w:rsidR="00D73BCE" w14:paraId="37E6AFA0" w14:textId="77777777" w:rsidTr="00D90FAB">
        <w:trPr>
          <w:trHeight w:val="755"/>
        </w:trPr>
        <w:tc>
          <w:tcPr>
            <w:tcW w:w="1980" w:type="dxa"/>
          </w:tcPr>
          <w:p w14:paraId="23461523" w14:textId="77777777" w:rsidR="00D73BCE" w:rsidRPr="00DF2815" w:rsidRDefault="00D73BCE" w:rsidP="00D90FAB">
            <w:pPr>
              <w:autoSpaceDE w:val="0"/>
              <w:autoSpaceDN w:val="0"/>
              <w:adjustRightInd w:val="0"/>
              <w:rPr>
                <w:rFonts w:ascii="Times New Roman" w:hAnsi="Times New Roman" w:cs="Times New Roman"/>
                <w:b/>
                <w:sz w:val="20"/>
                <w:szCs w:val="20"/>
              </w:rPr>
            </w:pPr>
            <w:r w:rsidRPr="00DF2815">
              <w:rPr>
                <w:rFonts w:ascii="Times New Roman" w:hAnsi="Times New Roman" w:cs="Times New Roman"/>
                <w:b/>
                <w:sz w:val="20"/>
                <w:szCs w:val="20"/>
              </w:rPr>
              <w:t>Basic scientific research</w:t>
            </w:r>
          </w:p>
        </w:tc>
        <w:tc>
          <w:tcPr>
            <w:tcW w:w="8100" w:type="dxa"/>
          </w:tcPr>
          <w:p w14:paraId="52A5A639" w14:textId="77777777" w:rsidR="00D73BCE" w:rsidRPr="00DF2815" w:rsidRDefault="00D73BCE" w:rsidP="00D90FAB">
            <w:pPr>
              <w:pStyle w:val="Default"/>
              <w:jc w:val="both"/>
              <w:rPr>
                <w:rFonts w:ascii="Times New Roman" w:hAnsi="Times New Roman" w:cs="Times New Roman"/>
                <w:sz w:val="20"/>
                <w:szCs w:val="20"/>
              </w:rPr>
            </w:pPr>
            <w:r w:rsidRPr="00DF2815">
              <w:rPr>
                <w:rFonts w:ascii="Times New Roman" w:hAnsi="Times New Roman" w:cs="Times New Roman"/>
                <w:sz w:val="20"/>
                <w:szCs w:val="20"/>
              </w:rPr>
              <w:t>Experimental or theoretical work undertaken principally to acquire new knowledge of the fundamental principles of phenomena or observable facts, not primarily directed towards a specific practical aim or objective.</w:t>
            </w:r>
          </w:p>
        </w:tc>
      </w:tr>
      <w:tr w:rsidR="00D73BCE" w14:paraId="61EFE06D" w14:textId="77777777" w:rsidTr="00D90FAB">
        <w:trPr>
          <w:trHeight w:val="260"/>
        </w:trPr>
        <w:tc>
          <w:tcPr>
            <w:tcW w:w="1980" w:type="dxa"/>
          </w:tcPr>
          <w:p w14:paraId="27EC5B94" w14:textId="77777777" w:rsidR="00D73BCE" w:rsidRPr="00DF2815" w:rsidRDefault="00D73BCE" w:rsidP="00D90FAB">
            <w:pPr>
              <w:autoSpaceDE w:val="0"/>
              <w:autoSpaceDN w:val="0"/>
              <w:adjustRightInd w:val="0"/>
              <w:rPr>
                <w:rFonts w:ascii="Times New Roman" w:hAnsi="Times New Roman" w:cs="Times New Roman"/>
                <w:b/>
                <w:sz w:val="20"/>
                <w:szCs w:val="20"/>
              </w:rPr>
            </w:pPr>
            <w:r w:rsidRPr="00DF2815">
              <w:rPr>
                <w:rFonts w:ascii="Times New Roman" w:hAnsi="Times New Roman" w:cs="Times New Roman"/>
                <w:b/>
                <w:sz w:val="20"/>
                <w:szCs w:val="20"/>
              </w:rPr>
              <w:t xml:space="preserve">Fundamental research   </w:t>
            </w:r>
          </w:p>
        </w:tc>
        <w:tc>
          <w:tcPr>
            <w:tcW w:w="8100" w:type="dxa"/>
          </w:tcPr>
          <w:p w14:paraId="3181F710" w14:textId="77777777" w:rsidR="00D73BCE" w:rsidRPr="00DF2815" w:rsidRDefault="00D73BCE" w:rsidP="00D90FAB">
            <w:pPr>
              <w:pStyle w:val="Default"/>
              <w:jc w:val="both"/>
              <w:rPr>
                <w:rFonts w:ascii="Times New Roman" w:hAnsi="Times New Roman" w:cs="Times New Roman"/>
                <w:sz w:val="20"/>
                <w:szCs w:val="20"/>
              </w:rPr>
            </w:pPr>
            <w:r w:rsidRPr="00DF2815">
              <w:rPr>
                <w:rFonts w:ascii="Times New Roman" w:hAnsi="Times New Roman" w:cs="Times New Roman"/>
                <w:sz w:val="20"/>
                <w:szCs w:val="20"/>
              </w:rPr>
              <w:t>Basic or applied research in science and engineering (usually performed or conducted at an accredited academic institution) where the resulting information is ordinarily published and shared broadl</w:t>
            </w:r>
            <w:r>
              <w:rPr>
                <w:rFonts w:ascii="Times New Roman" w:hAnsi="Times New Roman" w:cs="Times New Roman"/>
                <w:sz w:val="20"/>
                <w:szCs w:val="20"/>
              </w:rPr>
              <w:t xml:space="preserve">y in the scientific community. </w:t>
            </w:r>
            <w:r w:rsidRPr="00DF2815">
              <w:rPr>
                <w:rFonts w:ascii="Times New Roman" w:hAnsi="Times New Roman" w:cs="Times New Roman"/>
                <w:sz w:val="20"/>
                <w:szCs w:val="20"/>
              </w:rPr>
              <w:t>Fundamental research is distinguished from research that results in information that is restricted for proprietary reasons or national security reasons, and is therefore not subject to strategic trade controls.</w:t>
            </w:r>
          </w:p>
        </w:tc>
      </w:tr>
      <w:tr w:rsidR="00D73BCE" w14:paraId="24FEF1E5" w14:textId="77777777" w:rsidTr="00D90FAB">
        <w:trPr>
          <w:trHeight w:val="638"/>
        </w:trPr>
        <w:tc>
          <w:tcPr>
            <w:tcW w:w="1980" w:type="dxa"/>
          </w:tcPr>
          <w:p w14:paraId="4A81979B" w14:textId="77777777" w:rsidR="00D73BCE" w:rsidRPr="00DF2815" w:rsidRDefault="00D73BCE" w:rsidP="00D90FAB">
            <w:pPr>
              <w:autoSpaceDE w:val="0"/>
              <w:autoSpaceDN w:val="0"/>
              <w:adjustRightInd w:val="0"/>
              <w:rPr>
                <w:rFonts w:ascii="Times New Roman" w:hAnsi="Times New Roman" w:cs="Times New Roman"/>
                <w:b/>
                <w:sz w:val="20"/>
                <w:szCs w:val="20"/>
              </w:rPr>
            </w:pPr>
            <w:r w:rsidRPr="00DF2815">
              <w:rPr>
                <w:rFonts w:ascii="Times New Roman" w:hAnsi="Times New Roman" w:cs="Times New Roman"/>
                <w:b/>
                <w:sz w:val="20"/>
                <w:szCs w:val="20"/>
              </w:rPr>
              <w:t>In the public domain</w:t>
            </w:r>
          </w:p>
        </w:tc>
        <w:tc>
          <w:tcPr>
            <w:tcW w:w="8100" w:type="dxa"/>
          </w:tcPr>
          <w:p w14:paraId="68A1DF43" w14:textId="77777777" w:rsidR="00D73BCE" w:rsidRPr="00DF2815" w:rsidRDefault="00D73BCE" w:rsidP="00D90FAB">
            <w:pPr>
              <w:pStyle w:val="Default"/>
              <w:jc w:val="both"/>
              <w:rPr>
                <w:rFonts w:ascii="Times New Roman" w:hAnsi="Times New Roman" w:cs="Times New Roman"/>
                <w:color w:val="auto"/>
                <w:sz w:val="20"/>
                <w:szCs w:val="20"/>
              </w:rPr>
            </w:pPr>
            <w:r w:rsidRPr="00DF2815">
              <w:rPr>
                <w:rFonts w:ascii="Times New Roman" w:hAnsi="Times New Roman" w:cs="Times New Roman"/>
                <w:color w:val="auto"/>
                <w:sz w:val="20"/>
                <w:szCs w:val="20"/>
              </w:rPr>
              <w:t>Information that is published and that is generally accessible or available to the public.” This includes "technology" or "software" which has been made available without restrictions upon its further dissemination.</w:t>
            </w:r>
          </w:p>
        </w:tc>
      </w:tr>
    </w:tbl>
    <w:p w14:paraId="248027C8" w14:textId="398BEB56" w:rsidR="00A64B6C" w:rsidRPr="00D73BCE" w:rsidRDefault="00A64B6C" w:rsidP="00D73BCE">
      <w:pPr>
        <w:rPr>
          <w:rFonts w:ascii="Times New Roman" w:hAnsi="Times New Roman" w:cs="Times New Roman"/>
          <w:b/>
          <w:bCs/>
          <w:color w:val="000000"/>
          <w:sz w:val="24"/>
          <w:szCs w:val="24"/>
          <w:u w:val="single"/>
        </w:rPr>
      </w:pPr>
      <w:bookmarkStart w:id="0" w:name="_GoBack"/>
      <w:bookmarkEnd w:id="0"/>
    </w:p>
    <w:sectPr w:rsidR="00A64B6C" w:rsidRPr="00D73BCE">
      <w:foot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99D72" w15:done="0"/>
  <w15:commentEx w15:paraId="2119F6E8" w15:done="0"/>
  <w15:commentEx w15:paraId="7C21E9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694E4" w14:textId="77777777" w:rsidR="00E71A8F" w:rsidRDefault="00E71A8F" w:rsidP="000C4F5C">
      <w:pPr>
        <w:spacing w:after="0" w:line="240" w:lineRule="auto"/>
      </w:pPr>
      <w:r>
        <w:separator/>
      </w:r>
    </w:p>
  </w:endnote>
  <w:endnote w:type="continuationSeparator" w:id="0">
    <w:p w14:paraId="62D1ED31" w14:textId="77777777" w:rsidR="00E71A8F" w:rsidRDefault="00E71A8F" w:rsidP="000C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19145"/>
      <w:docPartObj>
        <w:docPartGallery w:val="Page Numbers (Bottom of Page)"/>
        <w:docPartUnique/>
      </w:docPartObj>
    </w:sdtPr>
    <w:sdtEndPr>
      <w:rPr>
        <w:noProof/>
      </w:rPr>
    </w:sdtEndPr>
    <w:sdtContent>
      <w:p w14:paraId="2A1F25D5" w14:textId="77777777" w:rsidR="002D7BE9" w:rsidRDefault="002D7BE9">
        <w:pPr>
          <w:pStyle w:val="Footer"/>
          <w:jc w:val="right"/>
        </w:pPr>
        <w:r>
          <w:fldChar w:fldCharType="begin"/>
        </w:r>
        <w:r>
          <w:instrText xml:space="preserve"> PAGE   \* MERGEFORMAT </w:instrText>
        </w:r>
        <w:r>
          <w:fldChar w:fldCharType="separate"/>
        </w:r>
        <w:r w:rsidR="00D73BCE">
          <w:rPr>
            <w:noProof/>
          </w:rPr>
          <w:t>1</w:t>
        </w:r>
        <w:r>
          <w:rPr>
            <w:noProof/>
          </w:rPr>
          <w:fldChar w:fldCharType="end"/>
        </w:r>
      </w:p>
    </w:sdtContent>
  </w:sdt>
  <w:p w14:paraId="07FB3805" w14:textId="77777777" w:rsidR="002D7BE9" w:rsidRDefault="002D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9AA6E" w14:textId="77777777" w:rsidR="00E71A8F" w:rsidRDefault="00E71A8F" w:rsidP="000C4F5C">
      <w:pPr>
        <w:spacing w:after="0" w:line="240" w:lineRule="auto"/>
      </w:pPr>
      <w:r>
        <w:separator/>
      </w:r>
    </w:p>
  </w:footnote>
  <w:footnote w:type="continuationSeparator" w:id="0">
    <w:p w14:paraId="45A33D33" w14:textId="77777777" w:rsidR="00E71A8F" w:rsidRDefault="00E71A8F" w:rsidP="000C4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5506"/>
    <w:multiLevelType w:val="hybridMultilevel"/>
    <w:tmpl w:val="10ECA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4FF2"/>
    <w:multiLevelType w:val="hybridMultilevel"/>
    <w:tmpl w:val="A9C0A4B8"/>
    <w:lvl w:ilvl="0" w:tplc="97C29BE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91018"/>
    <w:multiLevelType w:val="hybridMultilevel"/>
    <w:tmpl w:val="966C5648"/>
    <w:lvl w:ilvl="0" w:tplc="C29A19A6">
      <w:start w:val="1"/>
      <w:numFmt w:val="bullet"/>
      <w:lvlText w:val=""/>
      <w:lvlJc w:val="left"/>
      <w:pPr>
        <w:ind w:left="2160" w:hanging="360"/>
      </w:pPr>
      <w:rPr>
        <w:rFonts w:ascii="Wingdings" w:hAnsi="Wingdings" w:cs="Wingdings" w:hint="default"/>
        <w:color w:val="auto"/>
        <w:sz w:val="18"/>
        <w:szCs w:val="18"/>
      </w:rPr>
    </w:lvl>
    <w:lvl w:ilvl="1" w:tplc="82E61E78">
      <w:start w:val="1"/>
      <w:numFmt w:val="bullet"/>
      <w:lvlText w:val=""/>
      <w:lvlJc w:val="left"/>
      <w:pPr>
        <w:ind w:left="2160" w:hanging="360"/>
      </w:pPr>
      <w:rPr>
        <w:rFonts w:ascii="Wingdings" w:hAnsi="Wingdings" w:hint="default"/>
        <w:color w:val="auto"/>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7117EB"/>
    <w:multiLevelType w:val="hybridMultilevel"/>
    <w:tmpl w:val="9B04847C"/>
    <w:lvl w:ilvl="0" w:tplc="2C1A309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0E64522"/>
    <w:multiLevelType w:val="hybridMultilevel"/>
    <w:tmpl w:val="E70C7B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430B4C"/>
    <w:multiLevelType w:val="hybridMultilevel"/>
    <w:tmpl w:val="2F346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55C3D"/>
    <w:multiLevelType w:val="hybridMultilevel"/>
    <w:tmpl w:val="9E9A0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F30C4"/>
    <w:multiLevelType w:val="hybridMultilevel"/>
    <w:tmpl w:val="06ECE5E2"/>
    <w:lvl w:ilvl="0" w:tplc="9CC4B6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C4D41"/>
    <w:multiLevelType w:val="hybridMultilevel"/>
    <w:tmpl w:val="B44A0B24"/>
    <w:lvl w:ilvl="0" w:tplc="C64AA53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926A6C"/>
    <w:multiLevelType w:val="hybridMultilevel"/>
    <w:tmpl w:val="45D8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43FBB"/>
    <w:multiLevelType w:val="hybridMultilevel"/>
    <w:tmpl w:val="481A82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D9042B"/>
    <w:multiLevelType w:val="hybridMultilevel"/>
    <w:tmpl w:val="9D9619B0"/>
    <w:lvl w:ilvl="0" w:tplc="CC80D65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885BAC"/>
    <w:multiLevelType w:val="hybridMultilevel"/>
    <w:tmpl w:val="956E12D8"/>
    <w:lvl w:ilvl="0" w:tplc="63CA918C">
      <w:start w:val="1"/>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375054"/>
    <w:multiLevelType w:val="hybridMultilevel"/>
    <w:tmpl w:val="DB0E4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851AF9"/>
    <w:multiLevelType w:val="hybridMultilevel"/>
    <w:tmpl w:val="132A7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07610"/>
    <w:multiLevelType w:val="hybridMultilevel"/>
    <w:tmpl w:val="F6AA7C0A"/>
    <w:lvl w:ilvl="0" w:tplc="12EAE06C">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F1AE5"/>
    <w:multiLevelType w:val="hybridMultilevel"/>
    <w:tmpl w:val="3FD09AD4"/>
    <w:lvl w:ilvl="0" w:tplc="56824E6E">
      <w:start w:val="1"/>
      <w:numFmt w:val="bullet"/>
      <w:lvlText w:val=""/>
      <w:lvlJc w:val="left"/>
      <w:pPr>
        <w:ind w:left="1170" w:hanging="360"/>
      </w:pPr>
      <w:rPr>
        <w:rFonts w:ascii="Wingdings" w:hAnsi="Wingdings" w:hint="default"/>
        <w:sz w:val="20"/>
        <w:szCs w:val="20"/>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701D5713"/>
    <w:multiLevelType w:val="hybridMultilevel"/>
    <w:tmpl w:val="AD3C7DD6"/>
    <w:lvl w:ilvl="0" w:tplc="FA286E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A3DC2"/>
    <w:multiLevelType w:val="hybridMultilevel"/>
    <w:tmpl w:val="EB4A287C"/>
    <w:lvl w:ilvl="0" w:tplc="2C1A3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D19E5"/>
    <w:multiLevelType w:val="hybridMultilevel"/>
    <w:tmpl w:val="48B01682"/>
    <w:lvl w:ilvl="0" w:tplc="D186C1AE">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6"/>
  </w:num>
  <w:num w:numId="4">
    <w:abstractNumId w:val="2"/>
  </w:num>
  <w:num w:numId="5">
    <w:abstractNumId w:val="14"/>
  </w:num>
  <w:num w:numId="6">
    <w:abstractNumId w:val="1"/>
  </w:num>
  <w:num w:numId="7">
    <w:abstractNumId w:val="8"/>
  </w:num>
  <w:num w:numId="8">
    <w:abstractNumId w:val="12"/>
  </w:num>
  <w:num w:numId="9">
    <w:abstractNumId w:val="18"/>
  </w:num>
  <w:num w:numId="10">
    <w:abstractNumId w:val="3"/>
  </w:num>
  <w:num w:numId="11">
    <w:abstractNumId w:val="21"/>
  </w:num>
  <w:num w:numId="12">
    <w:abstractNumId w:val="19"/>
  </w:num>
  <w:num w:numId="13">
    <w:abstractNumId w:val="7"/>
  </w:num>
  <w:num w:numId="14">
    <w:abstractNumId w:val="15"/>
  </w:num>
  <w:num w:numId="15">
    <w:abstractNumId w:val="13"/>
  </w:num>
  <w:num w:numId="16">
    <w:abstractNumId w:val="0"/>
  </w:num>
  <w:num w:numId="17">
    <w:abstractNumId w:val="20"/>
  </w:num>
  <w:num w:numId="18">
    <w:abstractNumId w:val="4"/>
  </w:num>
  <w:num w:numId="19">
    <w:abstractNumId w:val="5"/>
  </w:num>
  <w:num w:numId="20">
    <w:abstractNumId w:val="11"/>
  </w:num>
  <w:num w:numId="21">
    <w:abstractNumId w:val="10"/>
  </w:num>
  <w:num w:numId="22">
    <w:abstractNumId w:val="16"/>
  </w:num>
  <w:num w:numId="23">
    <w:abstractNumId w:val="9"/>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rly, Bryan">
    <w15:presenceInfo w15:providerId="AD" w15:userId="S-1-5-21-375655340-1700474455-5522801-5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1C"/>
    <w:rsid w:val="0000444A"/>
    <w:rsid w:val="000075F4"/>
    <w:rsid w:val="00030FEF"/>
    <w:rsid w:val="00087F04"/>
    <w:rsid w:val="000B7B45"/>
    <w:rsid w:val="000C0CB3"/>
    <w:rsid w:val="000C4A65"/>
    <w:rsid w:val="000C4F5C"/>
    <w:rsid w:val="000C5692"/>
    <w:rsid w:val="000F3ACE"/>
    <w:rsid w:val="000F4C0D"/>
    <w:rsid w:val="00110FD4"/>
    <w:rsid w:val="001434BC"/>
    <w:rsid w:val="0016360F"/>
    <w:rsid w:val="001651EC"/>
    <w:rsid w:val="00166AD5"/>
    <w:rsid w:val="00186C4F"/>
    <w:rsid w:val="001923E4"/>
    <w:rsid w:val="00197ADE"/>
    <w:rsid w:val="001A5F84"/>
    <w:rsid w:val="001C5B62"/>
    <w:rsid w:val="001E3E05"/>
    <w:rsid w:val="001E688D"/>
    <w:rsid w:val="001F1102"/>
    <w:rsid w:val="001F78F2"/>
    <w:rsid w:val="00213D85"/>
    <w:rsid w:val="00216E57"/>
    <w:rsid w:val="0022241E"/>
    <w:rsid w:val="00227774"/>
    <w:rsid w:val="0024061E"/>
    <w:rsid w:val="00241D24"/>
    <w:rsid w:val="002449C7"/>
    <w:rsid w:val="002705FE"/>
    <w:rsid w:val="0027726F"/>
    <w:rsid w:val="002801E5"/>
    <w:rsid w:val="00283256"/>
    <w:rsid w:val="00295E39"/>
    <w:rsid w:val="002B2F1E"/>
    <w:rsid w:val="002D6BC7"/>
    <w:rsid w:val="002D7BE9"/>
    <w:rsid w:val="002F0D30"/>
    <w:rsid w:val="002F68BE"/>
    <w:rsid w:val="00304091"/>
    <w:rsid w:val="0031590D"/>
    <w:rsid w:val="00331DE6"/>
    <w:rsid w:val="00340C88"/>
    <w:rsid w:val="003439E7"/>
    <w:rsid w:val="00352796"/>
    <w:rsid w:val="00355D68"/>
    <w:rsid w:val="00373730"/>
    <w:rsid w:val="00387277"/>
    <w:rsid w:val="0039601E"/>
    <w:rsid w:val="003B39A4"/>
    <w:rsid w:val="003C75E5"/>
    <w:rsid w:val="003D3636"/>
    <w:rsid w:val="003D546D"/>
    <w:rsid w:val="003E0233"/>
    <w:rsid w:val="003E59B0"/>
    <w:rsid w:val="004067A0"/>
    <w:rsid w:val="00410979"/>
    <w:rsid w:val="00420197"/>
    <w:rsid w:val="00426A66"/>
    <w:rsid w:val="004350A7"/>
    <w:rsid w:val="0043717C"/>
    <w:rsid w:val="00444166"/>
    <w:rsid w:val="004533B5"/>
    <w:rsid w:val="0045663B"/>
    <w:rsid w:val="00456928"/>
    <w:rsid w:val="00462947"/>
    <w:rsid w:val="00465A63"/>
    <w:rsid w:val="00471F3A"/>
    <w:rsid w:val="0047207A"/>
    <w:rsid w:val="0049224C"/>
    <w:rsid w:val="00496235"/>
    <w:rsid w:val="004A0153"/>
    <w:rsid w:val="004B7BDA"/>
    <w:rsid w:val="004C1BC8"/>
    <w:rsid w:val="004C46D6"/>
    <w:rsid w:val="004D158D"/>
    <w:rsid w:val="004D4CC2"/>
    <w:rsid w:val="004E6FEA"/>
    <w:rsid w:val="0050306F"/>
    <w:rsid w:val="00512E8F"/>
    <w:rsid w:val="00515985"/>
    <w:rsid w:val="00525210"/>
    <w:rsid w:val="00551226"/>
    <w:rsid w:val="005560AA"/>
    <w:rsid w:val="00561660"/>
    <w:rsid w:val="005853AD"/>
    <w:rsid w:val="005A27FF"/>
    <w:rsid w:val="005B1324"/>
    <w:rsid w:val="005C356A"/>
    <w:rsid w:val="005C369E"/>
    <w:rsid w:val="005C4736"/>
    <w:rsid w:val="005E0455"/>
    <w:rsid w:val="005E6E68"/>
    <w:rsid w:val="005F5C9E"/>
    <w:rsid w:val="0061390B"/>
    <w:rsid w:val="00613A4D"/>
    <w:rsid w:val="006271DC"/>
    <w:rsid w:val="00634150"/>
    <w:rsid w:val="006840C9"/>
    <w:rsid w:val="006D7FDD"/>
    <w:rsid w:val="006E5D72"/>
    <w:rsid w:val="006E6654"/>
    <w:rsid w:val="006F6ACD"/>
    <w:rsid w:val="00704641"/>
    <w:rsid w:val="00731DDE"/>
    <w:rsid w:val="007531E4"/>
    <w:rsid w:val="00754CB2"/>
    <w:rsid w:val="007778B2"/>
    <w:rsid w:val="00790C1A"/>
    <w:rsid w:val="007A2C83"/>
    <w:rsid w:val="007A6763"/>
    <w:rsid w:val="007C1445"/>
    <w:rsid w:val="007C53D1"/>
    <w:rsid w:val="007D63FA"/>
    <w:rsid w:val="007E0032"/>
    <w:rsid w:val="007E6AC6"/>
    <w:rsid w:val="007F0CFE"/>
    <w:rsid w:val="00812A4A"/>
    <w:rsid w:val="00827C71"/>
    <w:rsid w:val="008508B9"/>
    <w:rsid w:val="00865F34"/>
    <w:rsid w:val="00876EC3"/>
    <w:rsid w:val="008828B9"/>
    <w:rsid w:val="00884308"/>
    <w:rsid w:val="0089141C"/>
    <w:rsid w:val="00892616"/>
    <w:rsid w:val="00897F1F"/>
    <w:rsid w:val="008A2B65"/>
    <w:rsid w:val="008B6EEA"/>
    <w:rsid w:val="008C4E8F"/>
    <w:rsid w:val="008D3DC5"/>
    <w:rsid w:val="008D6913"/>
    <w:rsid w:val="008E7BAC"/>
    <w:rsid w:val="008F0FCE"/>
    <w:rsid w:val="008F7CD3"/>
    <w:rsid w:val="0090008D"/>
    <w:rsid w:val="0092491B"/>
    <w:rsid w:val="00970A02"/>
    <w:rsid w:val="00986FF8"/>
    <w:rsid w:val="0099119E"/>
    <w:rsid w:val="00994C08"/>
    <w:rsid w:val="009B4ACF"/>
    <w:rsid w:val="009C0ABE"/>
    <w:rsid w:val="009C69AC"/>
    <w:rsid w:val="009D1B93"/>
    <w:rsid w:val="009F0CEF"/>
    <w:rsid w:val="009F4DE6"/>
    <w:rsid w:val="00A217F9"/>
    <w:rsid w:val="00A22350"/>
    <w:rsid w:val="00A26D0D"/>
    <w:rsid w:val="00A415CC"/>
    <w:rsid w:val="00A573DE"/>
    <w:rsid w:val="00A61C06"/>
    <w:rsid w:val="00A64B6C"/>
    <w:rsid w:val="00A765FB"/>
    <w:rsid w:val="00A815C1"/>
    <w:rsid w:val="00A94FFA"/>
    <w:rsid w:val="00AB0CB8"/>
    <w:rsid w:val="00AB5DB7"/>
    <w:rsid w:val="00AB789A"/>
    <w:rsid w:val="00AC7E99"/>
    <w:rsid w:val="00AF58D6"/>
    <w:rsid w:val="00B0536D"/>
    <w:rsid w:val="00B102FD"/>
    <w:rsid w:val="00B17983"/>
    <w:rsid w:val="00B241AD"/>
    <w:rsid w:val="00B25A06"/>
    <w:rsid w:val="00B5383C"/>
    <w:rsid w:val="00B57A10"/>
    <w:rsid w:val="00B64888"/>
    <w:rsid w:val="00B77C5C"/>
    <w:rsid w:val="00BB757F"/>
    <w:rsid w:val="00BC5C0D"/>
    <w:rsid w:val="00BD5273"/>
    <w:rsid w:val="00BF040E"/>
    <w:rsid w:val="00C12428"/>
    <w:rsid w:val="00C13A61"/>
    <w:rsid w:val="00C177F7"/>
    <w:rsid w:val="00C20846"/>
    <w:rsid w:val="00C30625"/>
    <w:rsid w:val="00C43779"/>
    <w:rsid w:val="00C43BE4"/>
    <w:rsid w:val="00C46277"/>
    <w:rsid w:val="00C642DA"/>
    <w:rsid w:val="00C76B3F"/>
    <w:rsid w:val="00C834BE"/>
    <w:rsid w:val="00CB5085"/>
    <w:rsid w:val="00CD257F"/>
    <w:rsid w:val="00CF0055"/>
    <w:rsid w:val="00CF56FC"/>
    <w:rsid w:val="00CF72D7"/>
    <w:rsid w:val="00D40A47"/>
    <w:rsid w:val="00D55D58"/>
    <w:rsid w:val="00D73BCE"/>
    <w:rsid w:val="00D87930"/>
    <w:rsid w:val="00D93A9A"/>
    <w:rsid w:val="00D94D5A"/>
    <w:rsid w:val="00DA542A"/>
    <w:rsid w:val="00DE091A"/>
    <w:rsid w:val="00DE2441"/>
    <w:rsid w:val="00DE72D8"/>
    <w:rsid w:val="00DF2815"/>
    <w:rsid w:val="00E13B22"/>
    <w:rsid w:val="00E15EF1"/>
    <w:rsid w:val="00E300B0"/>
    <w:rsid w:val="00E373D8"/>
    <w:rsid w:val="00E42B75"/>
    <w:rsid w:val="00E43900"/>
    <w:rsid w:val="00E55B69"/>
    <w:rsid w:val="00E702C5"/>
    <w:rsid w:val="00E71A8F"/>
    <w:rsid w:val="00E74C22"/>
    <w:rsid w:val="00E90B7D"/>
    <w:rsid w:val="00EA6DBC"/>
    <w:rsid w:val="00ED3953"/>
    <w:rsid w:val="00EE2959"/>
    <w:rsid w:val="00EE369D"/>
    <w:rsid w:val="00EE504A"/>
    <w:rsid w:val="00EF148D"/>
    <w:rsid w:val="00F01245"/>
    <w:rsid w:val="00F01778"/>
    <w:rsid w:val="00F05741"/>
    <w:rsid w:val="00F1570A"/>
    <w:rsid w:val="00F25A90"/>
    <w:rsid w:val="00F42F05"/>
    <w:rsid w:val="00F5375B"/>
    <w:rsid w:val="00F6250A"/>
    <w:rsid w:val="00F633D1"/>
    <w:rsid w:val="00F71A51"/>
    <w:rsid w:val="00F80063"/>
    <w:rsid w:val="00FA1DF3"/>
    <w:rsid w:val="00FC1D23"/>
    <w:rsid w:val="00FD356C"/>
    <w:rsid w:val="00FE036A"/>
    <w:rsid w:val="00FE1776"/>
    <w:rsid w:val="00FE74B4"/>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CC"/>
    <w:pPr>
      <w:ind w:left="720"/>
      <w:contextualSpacing/>
    </w:pPr>
  </w:style>
  <w:style w:type="character" w:styleId="Hyperlink">
    <w:name w:val="Hyperlink"/>
    <w:basedOn w:val="DefaultParagraphFont"/>
    <w:uiPriority w:val="99"/>
    <w:unhideWhenUsed/>
    <w:rsid w:val="000C4F5C"/>
    <w:rPr>
      <w:color w:val="0000FF" w:themeColor="hyperlink"/>
      <w:u w:val="single"/>
    </w:rPr>
  </w:style>
  <w:style w:type="paragraph" w:styleId="FootnoteText">
    <w:name w:val="footnote text"/>
    <w:basedOn w:val="Normal"/>
    <w:link w:val="FootnoteTextChar"/>
    <w:uiPriority w:val="99"/>
    <w:semiHidden/>
    <w:unhideWhenUsed/>
    <w:rsid w:val="000C4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F5C"/>
    <w:rPr>
      <w:sz w:val="20"/>
      <w:szCs w:val="20"/>
    </w:rPr>
  </w:style>
  <w:style w:type="character" w:styleId="FootnoteReference">
    <w:name w:val="footnote reference"/>
    <w:basedOn w:val="DefaultParagraphFont"/>
    <w:uiPriority w:val="99"/>
    <w:semiHidden/>
    <w:unhideWhenUsed/>
    <w:rsid w:val="000C4F5C"/>
    <w:rPr>
      <w:vertAlign w:val="superscript"/>
    </w:rPr>
  </w:style>
  <w:style w:type="character" w:styleId="CommentReference">
    <w:name w:val="annotation reference"/>
    <w:basedOn w:val="DefaultParagraphFont"/>
    <w:uiPriority w:val="99"/>
    <w:semiHidden/>
    <w:unhideWhenUsed/>
    <w:rsid w:val="00227774"/>
    <w:rPr>
      <w:sz w:val="16"/>
      <w:szCs w:val="16"/>
    </w:rPr>
  </w:style>
  <w:style w:type="paragraph" w:styleId="CommentText">
    <w:name w:val="annotation text"/>
    <w:basedOn w:val="Normal"/>
    <w:link w:val="CommentTextChar"/>
    <w:uiPriority w:val="99"/>
    <w:unhideWhenUsed/>
    <w:rsid w:val="00227774"/>
    <w:pPr>
      <w:spacing w:line="240" w:lineRule="auto"/>
    </w:pPr>
    <w:rPr>
      <w:sz w:val="20"/>
      <w:szCs w:val="20"/>
    </w:rPr>
  </w:style>
  <w:style w:type="character" w:customStyle="1" w:styleId="CommentTextChar">
    <w:name w:val="Comment Text Char"/>
    <w:basedOn w:val="DefaultParagraphFont"/>
    <w:link w:val="CommentText"/>
    <w:uiPriority w:val="99"/>
    <w:rsid w:val="00227774"/>
    <w:rPr>
      <w:sz w:val="20"/>
      <w:szCs w:val="20"/>
    </w:rPr>
  </w:style>
  <w:style w:type="paragraph" w:styleId="BalloonText">
    <w:name w:val="Balloon Text"/>
    <w:basedOn w:val="Normal"/>
    <w:link w:val="BalloonTextChar"/>
    <w:uiPriority w:val="99"/>
    <w:semiHidden/>
    <w:unhideWhenUsed/>
    <w:rsid w:val="0022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74"/>
    <w:rPr>
      <w:rFonts w:ascii="Tahoma" w:hAnsi="Tahoma" w:cs="Tahoma"/>
      <w:sz w:val="16"/>
      <w:szCs w:val="16"/>
    </w:rPr>
  </w:style>
  <w:style w:type="character" w:styleId="FollowedHyperlink">
    <w:name w:val="FollowedHyperlink"/>
    <w:basedOn w:val="DefaultParagraphFont"/>
    <w:uiPriority w:val="99"/>
    <w:semiHidden/>
    <w:unhideWhenUsed/>
    <w:rsid w:val="00B64888"/>
    <w:rPr>
      <w:color w:val="800080" w:themeColor="followedHyperlink"/>
      <w:u w:val="single"/>
    </w:rPr>
  </w:style>
  <w:style w:type="paragraph" w:customStyle="1" w:styleId="Default">
    <w:name w:val="Default"/>
    <w:rsid w:val="00241D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D7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FDD"/>
    <w:rPr>
      <w:sz w:val="20"/>
      <w:szCs w:val="20"/>
    </w:rPr>
  </w:style>
  <w:style w:type="character" w:styleId="EndnoteReference">
    <w:name w:val="endnote reference"/>
    <w:basedOn w:val="DefaultParagraphFont"/>
    <w:uiPriority w:val="99"/>
    <w:semiHidden/>
    <w:unhideWhenUsed/>
    <w:rsid w:val="006D7FDD"/>
    <w:rPr>
      <w:vertAlign w:val="superscript"/>
    </w:rPr>
  </w:style>
  <w:style w:type="table" w:styleId="TableGrid">
    <w:name w:val="Table Grid"/>
    <w:basedOn w:val="TableNormal"/>
    <w:uiPriority w:val="59"/>
    <w:rsid w:val="0045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88"/>
  </w:style>
  <w:style w:type="paragraph" w:styleId="Footer">
    <w:name w:val="footer"/>
    <w:basedOn w:val="Normal"/>
    <w:link w:val="FooterChar"/>
    <w:uiPriority w:val="99"/>
    <w:unhideWhenUsed/>
    <w:rsid w:val="0034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88"/>
  </w:style>
  <w:style w:type="paragraph" w:styleId="CommentSubject">
    <w:name w:val="annotation subject"/>
    <w:basedOn w:val="CommentText"/>
    <w:next w:val="CommentText"/>
    <w:link w:val="CommentSubjectChar"/>
    <w:uiPriority w:val="99"/>
    <w:semiHidden/>
    <w:unhideWhenUsed/>
    <w:rsid w:val="00340C88"/>
    <w:rPr>
      <w:b/>
      <w:bCs/>
    </w:rPr>
  </w:style>
  <w:style w:type="character" w:customStyle="1" w:styleId="CommentSubjectChar">
    <w:name w:val="Comment Subject Char"/>
    <w:basedOn w:val="CommentTextChar"/>
    <w:link w:val="CommentSubject"/>
    <w:uiPriority w:val="99"/>
    <w:semiHidden/>
    <w:rsid w:val="00340C8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CC"/>
    <w:pPr>
      <w:ind w:left="720"/>
      <w:contextualSpacing/>
    </w:pPr>
  </w:style>
  <w:style w:type="character" w:styleId="Hyperlink">
    <w:name w:val="Hyperlink"/>
    <w:basedOn w:val="DefaultParagraphFont"/>
    <w:uiPriority w:val="99"/>
    <w:unhideWhenUsed/>
    <w:rsid w:val="000C4F5C"/>
    <w:rPr>
      <w:color w:val="0000FF" w:themeColor="hyperlink"/>
      <w:u w:val="single"/>
    </w:rPr>
  </w:style>
  <w:style w:type="paragraph" w:styleId="FootnoteText">
    <w:name w:val="footnote text"/>
    <w:basedOn w:val="Normal"/>
    <w:link w:val="FootnoteTextChar"/>
    <w:uiPriority w:val="99"/>
    <w:semiHidden/>
    <w:unhideWhenUsed/>
    <w:rsid w:val="000C4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F5C"/>
    <w:rPr>
      <w:sz w:val="20"/>
      <w:szCs w:val="20"/>
    </w:rPr>
  </w:style>
  <w:style w:type="character" w:styleId="FootnoteReference">
    <w:name w:val="footnote reference"/>
    <w:basedOn w:val="DefaultParagraphFont"/>
    <w:uiPriority w:val="99"/>
    <w:semiHidden/>
    <w:unhideWhenUsed/>
    <w:rsid w:val="000C4F5C"/>
    <w:rPr>
      <w:vertAlign w:val="superscript"/>
    </w:rPr>
  </w:style>
  <w:style w:type="character" w:styleId="CommentReference">
    <w:name w:val="annotation reference"/>
    <w:basedOn w:val="DefaultParagraphFont"/>
    <w:uiPriority w:val="99"/>
    <w:semiHidden/>
    <w:unhideWhenUsed/>
    <w:rsid w:val="00227774"/>
    <w:rPr>
      <w:sz w:val="16"/>
      <w:szCs w:val="16"/>
    </w:rPr>
  </w:style>
  <w:style w:type="paragraph" w:styleId="CommentText">
    <w:name w:val="annotation text"/>
    <w:basedOn w:val="Normal"/>
    <w:link w:val="CommentTextChar"/>
    <w:uiPriority w:val="99"/>
    <w:unhideWhenUsed/>
    <w:rsid w:val="00227774"/>
    <w:pPr>
      <w:spacing w:line="240" w:lineRule="auto"/>
    </w:pPr>
    <w:rPr>
      <w:sz w:val="20"/>
      <w:szCs w:val="20"/>
    </w:rPr>
  </w:style>
  <w:style w:type="character" w:customStyle="1" w:styleId="CommentTextChar">
    <w:name w:val="Comment Text Char"/>
    <w:basedOn w:val="DefaultParagraphFont"/>
    <w:link w:val="CommentText"/>
    <w:uiPriority w:val="99"/>
    <w:rsid w:val="00227774"/>
    <w:rPr>
      <w:sz w:val="20"/>
      <w:szCs w:val="20"/>
    </w:rPr>
  </w:style>
  <w:style w:type="paragraph" w:styleId="BalloonText">
    <w:name w:val="Balloon Text"/>
    <w:basedOn w:val="Normal"/>
    <w:link w:val="BalloonTextChar"/>
    <w:uiPriority w:val="99"/>
    <w:semiHidden/>
    <w:unhideWhenUsed/>
    <w:rsid w:val="0022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74"/>
    <w:rPr>
      <w:rFonts w:ascii="Tahoma" w:hAnsi="Tahoma" w:cs="Tahoma"/>
      <w:sz w:val="16"/>
      <w:szCs w:val="16"/>
    </w:rPr>
  </w:style>
  <w:style w:type="character" w:styleId="FollowedHyperlink">
    <w:name w:val="FollowedHyperlink"/>
    <w:basedOn w:val="DefaultParagraphFont"/>
    <w:uiPriority w:val="99"/>
    <w:semiHidden/>
    <w:unhideWhenUsed/>
    <w:rsid w:val="00B64888"/>
    <w:rPr>
      <w:color w:val="800080" w:themeColor="followedHyperlink"/>
      <w:u w:val="single"/>
    </w:rPr>
  </w:style>
  <w:style w:type="paragraph" w:customStyle="1" w:styleId="Default">
    <w:name w:val="Default"/>
    <w:rsid w:val="00241D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D7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FDD"/>
    <w:rPr>
      <w:sz w:val="20"/>
      <w:szCs w:val="20"/>
    </w:rPr>
  </w:style>
  <w:style w:type="character" w:styleId="EndnoteReference">
    <w:name w:val="endnote reference"/>
    <w:basedOn w:val="DefaultParagraphFont"/>
    <w:uiPriority w:val="99"/>
    <w:semiHidden/>
    <w:unhideWhenUsed/>
    <w:rsid w:val="006D7FDD"/>
    <w:rPr>
      <w:vertAlign w:val="superscript"/>
    </w:rPr>
  </w:style>
  <w:style w:type="table" w:styleId="TableGrid">
    <w:name w:val="Table Grid"/>
    <w:basedOn w:val="TableNormal"/>
    <w:uiPriority w:val="59"/>
    <w:rsid w:val="0045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88"/>
  </w:style>
  <w:style w:type="paragraph" w:styleId="Footer">
    <w:name w:val="footer"/>
    <w:basedOn w:val="Normal"/>
    <w:link w:val="FooterChar"/>
    <w:uiPriority w:val="99"/>
    <w:unhideWhenUsed/>
    <w:rsid w:val="0034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88"/>
  </w:style>
  <w:style w:type="paragraph" w:styleId="CommentSubject">
    <w:name w:val="annotation subject"/>
    <w:basedOn w:val="CommentText"/>
    <w:next w:val="CommentText"/>
    <w:link w:val="CommentSubjectChar"/>
    <w:uiPriority w:val="99"/>
    <w:semiHidden/>
    <w:unhideWhenUsed/>
    <w:rsid w:val="00340C88"/>
    <w:rPr>
      <w:b/>
      <w:bCs/>
    </w:rPr>
  </w:style>
  <w:style w:type="character" w:customStyle="1" w:styleId="CommentSubjectChar">
    <w:name w:val="Comment Subject Char"/>
    <w:basedOn w:val="CommentTextChar"/>
    <w:link w:val="CommentSubject"/>
    <w:uiPriority w:val="99"/>
    <w:semiHidden/>
    <w:rsid w:val="00340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1B13E1-6757-4C12-81E1-3558DA74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2</cp:revision>
  <dcterms:created xsi:type="dcterms:W3CDTF">2017-02-11T13:59:00Z</dcterms:created>
  <dcterms:modified xsi:type="dcterms:W3CDTF">2017-02-11T13:59:00Z</dcterms:modified>
</cp:coreProperties>
</file>